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C9D" w:rsidRPr="00131C9D" w:rsidRDefault="00131C9D" w:rsidP="00131C9D">
      <w:pPr>
        <w:spacing w:after="160"/>
        <w:rPr>
          <w:rFonts w:eastAsia="Times New Roman" w:cstheme="minorHAnsi"/>
          <w:sz w:val="22"/>
          <w:szCs w:val="22"/>
        </w:rPr>
      </w:pPr>
      <w:r w:rsidRPr="00131C9D">
        <w:rPr>
          <w:rFonts w:eastAsia="Times New Roman" w:cstheme="minorHAnsi"/>
          <w:b/>
          <w:color w:val="000000"/>
          <w:sz w:val="22"/>
          <w:szCs w:val="22"/>
        </w:rPr>
        <w:t>Gender Equality Charter Mark</w:t>
      </w:r>
      <w:r w:rsidRPr="00932AED">
        <w:rPr>
          <w:rFonts w:eastAsia="Times New Roman" w:cstheme="minorHAnsi"/>
          <w:color w:val="000000"/>
          <w:sz w:val="22"/>
          <w:szCs w:val="22"/>
        </w:rPr>
        <w:t xml:space="preserve">  </w:t>
      </w:r>
      <w:bookmarkStart w:id="0" w:name="_GoBack"/>
      <w:bookmarkEnd w:id="0"/>
    </w:p>
    <w:p w:rsidR="00131C9D" w:rsidRPr="00131C9D" w:rsidRDefault="00131C9D" w:rsidP="00131C9D">
      <w:pPr>
        <w:rPr>
          <w:rFonts w:eastAsia="Times New Roman" w:cstheme="minorHAnsi"/>
          <w:sz w:val="22"/>
          <w:szCs w:val="22"/>
        </w:rPr>
      </w:pPr>
    </w:p>
    <w:p w:rsidR="00131C9D" w:rsidRPr="00932AED" w:rsidRDefault="00131C9D" w:rsidP="00131C9D">
      <w:pPr>
        <w:spacing w:after="160"/>
        <w:rPr>
          <w:rFonts w:eastAsia="Times New Roman" w:cstheme="minorHAnsi"/>
          <w:b/>
          <w:color w:val="000000"/>
          <w:sz w:val="22"/>
          <w:szCs w:val="22"/>
        </w:rPr>
      </w:pPr>
      <w:r w:rsidRPr="00131C9D">
        <w:rPr>
          <w:rFonts w:eastAsia="Times New Roman" w:cstheme="minorHAnsi"/>
          <w:b/>
          <w:color w:val="000000"/>
          <w:sz w:val="22"/>
          <w:szCs w:val="22"/>
        </w:rPr>
        <w:t>Funder</w:t>
      </w:r>
    </w:p>
    <w:p w:rsidR="00131C9D" w:rsidRPr="00131C9D" w:rsidRDefault="00131C9D" w:rsidP="00131C9D">
      <w:pPr>
        <w:spacing w:after="160"/>
        <w:rPr>
          <w:rFonts w:eastAsia="Times New Roman" w:cstheme="minorHAnsi"/>
          <w:color w:val="000000"/>
          <w:sz w:val="22"/>
          <w:szCs w:val="22"/>
        </w:rPr>
      </w:pPr>
      <w:r w:rsidRPr="00932AED">
        <w:rPr>
          <w:rFonts w:eastAsia="Times New Roman" w:cstheme="minorHAnsi"/>
          <w:color w:val="000000"/>
          <w:sz w:val="22"/>
          <w:szCs w:val="22"/>
        </w:rPr>
        <w:t xml:space="preserve">Erasmus Plus </w:t>
      </w:r>
      <w:r w:rsidR="00932AED" w:rsidRPr="00932AED">
        <w:rPr>
          <w:rFonts w:eastAsia="Times New Roman" w:cstheme="minorHAnsi"/>
          <w:color w:val="000000"/>
          <w:sz w:val="22"/>
          <w:szCs w:val="22"/>
        </w:rPr>
        <w:t>2019-2021</w:t>
      </w:r>
    </w:p>
    <w:p w:rsidR="00131C9D" w:rsidRPr="00131C9D" w:rsidRDefault="00131C9D" w:rsidP="00131C9D">
      <w:pPr>
        <w:rPr>
          <w:rFonts w:eastAsia="Times New Roman" w:cstheme="minorHAnsi"/>
          <w:sz w:val="22"/>
          <w:szCs w:val="22"/>
        </w:rPr>
      </w:pPr>
    </w:p>
    <w:p w:rsidR="00131C9D" w:rsidRPr="00932AED" w:rsidRDefault="00131C9D" w:rsidP="00131C9D">
      <w:pPr>
        <w:spacing w:after="160"/>
        <w:rPr>
          <w:rFonts w:eastAsia="Times New Roman" w:cstheme="minorHAnsi"/>
          <w:b/>
          <w:color w:val="000000"/>
          <w:sz w:val="22"/>
          <w:szCs w:val="22"/>
        </w:rPr>
      </w:pPr>
      <w:r w:rsidRPr="00131C9D">
        <w:rPr>
          <w:rFonts w:eastAsia="Times New Roman" w:cstheme="minorHAnsi"/>
          <w:b/>
          <w:color w:val="000000"/>
          <w:sz w:val="22"/>
          <w:szCs w:val="22"/>
        </w:rPr>
        <w:t>Partners</w:t>
      </w:r>
    </w:p>
    <w:p w:rsidR="00131C9D" w:rsidRPr="00932AED" w:rsidRDefault="00131C9D" w:rsidP="00131C9D">
      <w:pPr>
        <w:spacing w:before="2" w:after="2"/>
        <w:rPr>
          <w:rFonts w:cstheme="minorHAnsi"/>
          <w:sz w:val="22"/>
          <w:szCs w:val="22"/>
        </w:rPr>
      </w:pPr>
      <w:r w:rsidRPr="00932AED">
        <w:rPr>
          <w:rFonts w:eastAsia="Times New Roman" w:cstheme="minorHAnsi"/>
          <w:color w:val="000000"/>
          <w:sz w:val="22"/>
          <w:szCs w:val="22"/>
        </w:rPr>
        <w:t xml:space="preserve">Development Education Centre, South Yorkshire (DECSY, England – Lead), Anthropolis Association (Hungary), Oxfam (Italy), </w:t>
      </w:r>
      <w:r w:rsidRPr="00932AED">
        <w:rPr>
          <w:rFonts w:cstheme="minorHAnsi"/>
          <w:sz w:val="22"/>
          <w:szCs w:val="22"/>
        </w:rPr>
        <w:t>Center for Citizenship Education (CEO, Poland), Forum for Freedom in Education (Croatia), Peace Education Institute (Finland), Slovak Centre for Communication and Development (Slovakia), Sudwind Association for Development Policy and Global Justice (Austria), University of Thessaly (Greece)</w:t>
      </w:r>
    </w:p>
    <w:p w:rsidR="00131C9D" w:rsidRPr="00131C9D" w:rsidRDefault="00131C9D" w:rsidP="00131C9D">
      <w:pPr>
        <w:rPr>
          <w:rFonts w:eastAsia="Times New Roman" w:cstheme="minorHAnsi"/>
          <w:sz w:val="22"/>
          <w:szCs w:val="22"/>
        </w:rPr>
      </w:pPr>
    </w:p>
    <w:p w:rsidR="00131C9D" w:rsidRPr="00932AED" w:rsidRDefault="00131C9D" w:rsidP="00131C9D">
      <w:pPr>
        <w:spacing w:after="160"/>
        <w:rPr>
          <w:rFonts w:eastAsia="Times New Roman" w:cstheme="minorHAnsi"/>
          <w:b/>
          <w:color w:val="000000"/>
          <w:sz w:val="22"/>
          <w:szCs w:val="22"/>
        </w:rPr>
      </w:pPr>
      <w:r w:rsidRPr="00131C9D">
        <w:rPr>
          <w:rFonts w:eastAsia="Times New Roman" w:cstheme="minorHAnsi"/>
          <w:b/>
          <w:color w:val="000000"/>
          <w:sz w:val="22"/>
          <w:szCs w:val="22"/>
        </w:rPr>
        <w:t>Aims</w:t>
      </w:r>
    </w:p>
    <w:p w:rsidR="000A675E" w:rsidRPr="00932AED" w:rsidRDefault="000A675E" w:rsidP="00131C9D">
      <w:pPr>
        <w:spacing w:after="160"/>
        <w:rPr>
          <w:rFonts w:eastAsia="Times New Roman" w:cstheme="minorHAnsi"/>
          <w:sz w:val="22"/>
          <w:szCs w:val="22"/>
        </w:rPr>
      </w:pPr>
      <w:r w:rsidRPr="00932AED">
        <w:rPr>
          <w:rFonts w:eastAsia="Times New Roman" w:cstheme="minorHAnsi"/>
          <w:sz w:val="22"/>
          <w:szCs w:val="22"/>
        </w:rPr>
        <w:t>To develop tools to enable a school to measure progress in tackling the effects that gender stereotyping still has on pupils in relation to both subject (and career) choices and as a root of sexual harassment and gender-based violence in schools and wider society.</w:t>
      </w:r>
    </w:p>
    <w:p w:rsidR="00131C9D" w:rsidRPr="00131C9D" w:rsidRDefault="00D40875" w:rsidP="00932AED">
      <w:pPr>
        <w:spacing w:after="160"/>
        <w:rPr>
          <w:rFonts w:eastAsia="Times New Roman" w:cstheme="minorHAnsi"/>
          <w:sz w:val="22"/>
          <w:szCs w:val="22"/>
        </w:rPr>
      </w:pPr>
      <w:r w:rsidRPr="00932AED">
        <w:rPr>
          <w:rFonts w:eastAsia="Times New Roman" w:cstheme="minorHAnsi"/>
          <w:sz w:val="22"/>
          <w:szCs w:val="22"/>
        </w:rPr>
        <w:t>To extend the use of the Gender Equality Charter Mark to schools across Europe.</w:t>
      </w:r>
    </w:p>
    <w:p w:rsidR="00131C9D" w:rsidRPr="00932AED" w:rsidRDefault="00131C9D" w:rsidP="00131C9D">
      <w:pPr>
        <w:spacing w:after="160"/>
        <w:rPr>
          <w:rFonts w:eastAsia="Times New Roman" w:cstheme="minorHAnsi"/>
          <w:b/>
          <w:color w:val="000000"/>
          <w:sz w:val="22"/>
          <w:szCs w:val="22"/>
        </w:rPr>
      </w:pPr>
      <w:r w:rsidRPr="00131C9D">
        <w:rPr>
          <w:rFonts w:eastAsia="Times New Roman" w:cstheme="minorHAnsi"/>
          <w:b/>
          <w:color w:val="000000"/>
          <w:sz w:val="22"/>
          <w:szCs w:val="22"/>
        </w:rPr>
        <w:t>Need for project</w:t>
      </w:r>
    </w:p>
    <w:p w:rsidR="000A675E" w:rsidRPr="00932AED" w:rsidRDefault="000A675E" w:rsidP="000A675E">
      <w:pPr>
        <w:jc w:val="both"/>
        <w:rPr>
          <w:rFonts w:cstheme="minorHAnsi"/>
          <w:sz w:val="22"/>
          <w:szCs w:val="22"/>
        </w:rPr>
      </w:pPr>
      <w:r w:rsidRPr="00932AED">
        <w:rPr>
          <w:rFonts w:cstheme="minorHAnsi"/>
          <w:sz w:val="22"/>
          <w:szCs w:val="22"/>
        </w:rPr>
        <w:t xml:space="preserve">The EU sees social norms and gender stereotypes as barriers to girls and women’s agency in social, economic, political and civil life. Socially and culturally we are at a point where gender issues are becoming ever more prominent in social life, both in their potential harm to individuals and society, but also in the need for innovative approaches and solution. Gender inequality is also a root cause of gender-based violence. </w:t>
      </w:r>
    </w:p>
    <w:p w:rsidR="000A675E" w:rsidRPr="00932AED" w:rsidRDefault="000A675E" w:rsidP="000A675E">
      <w:pPr>
        <w:jc w:val="both"/>
        <w:rPr>
          <w:rFonts w:cstheme="minorHAnsi"/>
          <w:sz w:val="22"/>
          <w:szCs w:val="22"/>
        </w:rPr>
      </w:pPr>
    </w:p>
    <w:p w:rsidR="000A675E" w:rsidRPr="00932AED" w:rsidRDefault="000A675E" w:rsidP="000A675E">
      <w:pPr>
        <w:jc w:val="both"/>
        <w:rPr>
          <w:rFonts w:cstheme="minorHAnsi"/>
          <w:sz w:val="22"/>
          <w:szCs w:val="22"/>
        </w:rPr>
      </w:pPr>
      <w:r w:rsidRPr="00932AED">
        <w:rPr>
          <w:rFonts w:cstheme="minorHAnsi"/>
          <w:sz w:val="22"/>
          <w:szCs w:val="22"/>
        </w:rPr>
        <w:t>One of the conclusions on ‘the elimination and prevention of all forms of violence against women and girls’ by the UN Commission on the Status of Women was that educational and teaching materials should be developed ‘in order to modify the social and cultural patterns of conduct of men and women of all ages, to eliminate prejudices and to promote and build informed decision-making, communication and risk reduction skills for the development of respectful relationships based on gender equality and human rights’ (CSW57, 2013).</w:t>
      </w:r>
      <w:r w:rsidRPr="00932AED">
        <w:rPr>
          <w:rStyle w:val="Odkaznapoznmkupodiarou"/>
          <w:rFonts w:cstheme="minorHAnsi"/>
          <w:sz w:val="22"/>
          <w:szCs w:val="22"/>
        </w:rPr>
        <w:footnoteReference w:id="1"/>
      </w:r>
    </w:p>
    <w:p w:rsidR="000A675E" w:rsidRPr="00932AED" w:rsidRDefault="000A675E" w:rsidP="000A675E">
      <w:pPr>
        <w:jc w:val="both"/>
        <w:rPr>
          <w:rFonts w:cstheme="minorHAnsi"/>
          <w:sz w:val="22"/>
          <w:szCs w:val="22"/>
        </w:rPr>
      </w:pPr>
      <w:r w:rsidRPr="00932AED">
        <w:rPr>
          <w:rFonts w:cstheme="minorHAnsi"/>
          <w:sz w:val="22"/>
          <w:szCs w:val="22"/>
        </w:rPr>
        <w:t xml:space="preserve"> </w:t>
      </w:r>
    </w:p>
    <w:p w:rsidR="00D40875" w:rsidRPr="00932AED" w:rsidRDefault="00D40875" w:rsidP="000A675E">
      <w:pPr>
        <w:jc w:val="both"/>
        <w:rPr>
          <w:rFonts w:cstheme="minorHAnsi"/>
          <w:b/>
          <w:sz w:val="22"/>
          <w:szCs w:val="22"/>
        </w:rPr>
      </w:pPr>
      <w:r w:rsidRPr="00932AED">
        <w:rPr>
          <w:rFonts w:cstheme="minorHAnsi"/>
          <w:b/>
          <w:sz w:val="22"/>
          <w:szCs w:val="22"/>
        </w:rPr>
        <w:t>Objectives</w:t>
      </w:r>
    </w:p>
    <w:p w:rsidR="00D40875" w:rsidRPr="00932AED" w:rsidRDefault="00D40875" w:rsidP="000A675E">
      <w:pPr>
        <w:jc w:val="both"/>
        <w:rPr>
          <w:rFonts w:cstheme="minorHAnsi"/>
          <w:sz w:val="22"/>
          <w:szCs w:val="22"/>
        </w:rPr>
      </w:pPr>
    </w:p>
    <w:p w:rsidR="000A675E" w:rsidRPr="00932AED" w:rsidRDefault="000A675E" w:rsidP="000A675E">
      <w:pPr>
        <w:jc w:val="both"/>
        <w:rPr>
          <w:rFonts w:cstheme="minorHAnsi"/>
          <w:sz w:val="22"/>
          <w:szCs w:val="22"/>
        </w:rPr>
      </w:pPr>
      <w:r w:rsidRPr="00932AED">
        <w:rPr>
          <w:rFonts w:cstheme="minorHAnsi"/>
          <w:sz w:val="22"/>
          <w:szCs w:val="22"/>
        </w:rPr>
        <w:t xml:space="preserve">To challenge the negative and damaging norms, stereotypes and expectations by using our </w:t>
      </w:r>
      <w:r w:rsidR="00D40875" w:rsidRPr="00932AED">
        <w:rPr>
          <w:rFonts w:cstheme="minorHAnsi"/>
          <w:sz w:val="22"/>
          <w:szCs w:val="22"/>
        </w:rPr>
        <w:t>Gender Equality Charter Mark (</w:t>
      </w:r>
      <w:r w:rsidRPr="00932AED">
        <w:rPr>
          <w:rFonts w:cstheme="minorHAnsi"/>
          <w:sz w:val="22"/>
          <w:szCs w:val="22"/>
        </w:rPr>
        <w:t>GECM</w:t>
      </w:r>
      <w:r w:rsidR="00D40875" w:rsidRPr="00932AED">
        <w:rPr>
          <w:rFonts w:cstheme="minorHAnsi"/>
          <w:sz w:val="22"/>
          <w:szCs w:val="22"/>
        </w:rPr>
        <w:t>)</w:t>
      </w:r>
      <w:r w:rsidRPr="00932AED">
        <w:rPr>
          <w:rFonts w:cstheme="minorHAnsi"/>
          <w:sz w:val="22"/>
          <w:szCs w:val="22"/>
        </w:rPr>
        <w:t xml:space="preserve"> to provide a framework for instilling a whole-school approach to gender equality</w:t>
      </w:r>
      <w:r w:rsidR="00D40875" w:rsidRPr="00932AED">
        <w:rPr>
          <w:rFonts w:cstheme="minorHAnsi"/>
          <w:sz w:val="22"/>
          <w:szCs w:val="22"/>
        </w:rPr>
        <w:t xml:space="preserve"> (GE)</w:t>
      </w:r>
      <w:r w:rsidRPr="00932AED">
        <w:rPr>
          <w:rFonts w:cstheme="minorHAnsi"/>
          <w:sz w:val="22"/>
          <w:szCs w:val="22"/>
        </w:rPr>
        <w:t xml:space="preserve"> in schools across Europe.</w:t>
      </w:r>
    </w:p>
    <w:p w:rsidR="00D40875" w:rsidRPr="00932AED" w:rsidRDefault="00D40875" w:rsidP="000A675E">
      <w:pPr>
        <w:jc w:val="both"/>
        <w:rPr>
          <w:rFonts w:cstheme="minorHAnsi"/>
          <w:sz w:val="22"/>
          <w:szCs w:val="22"/>
        </w:rPr>
      </w:pPr>
    </w:p>
    <w:p w:rsidR="00D40875" w:rsidRPr="00932AED" w:rsidRDefault="00D40875" w:rsidP="00932AED">
      <w:pPr>
        <w:jc w:val="both"/>
        <w:rPr>
          <w:rFonts w:cstheme="minorHAnsi"/>
          <w:sz w:val="22"/>
          <w:szCs w:val="22"/>
        </w:rPr>
      </w:pPr>
      <w:r w:rsidRPr="00932AED">
        <w:rPr>
          <w:rFonts w:cstheme="minorHAnsi"/>
          <w:sz w:val="22"/>
          <w:szCs w:val="22"/>
        </w:rPr>
        <w:t>T</w:t>
      </w:r>
      <w:r w:rsidR="000A675E" w:rsidRPr="00932AED">
        <w:rPr>
          <w:rFonts w:cstheme="minorHAnsi"/>
          <w:sz w:val="22"/>
          <w:szCs w:val="22"/>
        </w:rPr>
        <w:t xml:space="preserve">o foster and encourage positive change in the approach to gender equality, and develop a culture where children engage their critical thinking skills to understand, question and challenge gender inequality and violence. The change we hope to see includes widening subject and career choices made by pupils and reductions in harassment and gender-based violence in schools and wider society.  </w:t>
      </w:r>
    </w:p>
    <w:p w:rsidR="00932AED" w:rsidRPr="00932AED" w:rsidRDefault="00932AED" w:rsidP="00932AED">
      <w:pPr>
        <w:jc w:val="both"/>
        <w:rPr>
          <w:rFonts w:cstheme="minorHAnsi"/>
          <w:sz w:val="22"/>
          <w:szCs w:val="22"/>
        </w:rPr>
      </w:pPr>
    </w:p>
    <w:p w:rsidR="00131C9D" w:rsidRPr="00932AED" w:rsidRDefault="00D40875" w:rsidP="00131C9D">
      <w:pPr>
        <w:spacing w:after="160"/>
        <w:rPr>
          <w:rFonts w:eastAsia="Times New Roman" w:cstheme="minorHAnsi"/>
          <w:b/>
          <w:color w:val="000000"/>
          <w:sz w:val="22"/>
          <w:szCs w:val="22"/>
        </w:rPr>
      </w:pPr>
      <w:r w:rsidRPr="00932AED">
        <w:rPr>
          <w:rFonts w:eastAsia="Times New Roman" w:cstheme="minorHAnsi"/>
          <w:b/>
          <w:color w:val="000000"/>
          <w:sz w:val="22"/>
          <w:szCs w:val="22"/>
        </w:rPr>
        <w:t>History</w:t>
      </w:r>
    </w:p>
    <w:p w:rsidR="00D40875" w:rsidRPr="00932AED" w:rsidRDefault="00D40875" w:rsidP="00131C9D">
      <w:pPr>
        <w:spacing w:after="160"/>
        <w:rPr>
          <w:rFonts w:cstheme="minorHAnsi"/>
          <w:sz w:val="22"/>
          <w:szCs w:val="22"/>
        </w:rPr>
      </w:pPr>
      <w:r w:rsidRPr="00932AED">
        <w:rPr>
          <w:rFonts w:cstheme="minorHAnsi"/>
          <w:sz w:val="22"/>
          <w:szCs w:val="22"/>
        </w:rPr>
        <w:t>The GECM in its first phase was a three-year project funded by the EU Justice Fund. The GECM itself was initially developed by the three NGOs from England (DECSY), Hungary (Anthropolis</w:t>
      </w:r>
      <w:r w:rsidR="00AC3DC9" w:rsidRPr="00932AED">
        <w:rPr>
          <w:rFonts w:cstheme="minorHAnsi"/>
          <w:sz w:val="22"/>
          <w:szCs w:val="22"/>
        </w:rPr>
        <w:t xml:space="preserve"> Association</w:t>
      </w:r>
      <w:r w:rsidRPr="00932AED">
        <w:rPr>
          <w:rFonts w:cstheme="minorHAnsi"/>
          <w:sz w:val="22"/>
          <w:szCs w:val="22"/>
        </w:rPr>
        <w:t xml:space="preserve">) and Italy (Oxfam Italy). The five main themes of the charter mark </w:t>
      </w:r>
      <w:r w:rsidR="00AC3DC9" w:rsidRPr="00932AED">
        <w:rPr>
          <w:rFonts w:cstheme="minorHAnsi"/>
          <w:sz w:val="22"/>
          <w:szCs w:val="22"/>
        </w:rPr>
        <w:t xml:space="preserve">(Leadership, Curriculum, Physical Environment, Attitudes and Relationships and Community) </w:t>
      </w:r>
      <w:r w:rsidRPr="00932AED">
        <w:rPr>
          <w:rFonts w:cstheme="minorHAnsi"/>
          <w:sz w:val="22"/>
          <w:szCs w:val="22"/>
        </w:rPr>
        <w:t xml:space="preserve">were agreed, along with sub-sections and a suggested framework for incremental improvements. We recognised from the start that each country had a different social, cultural, political and legal framework in which we were trying to promote GE in </w:t>
      </w:r>
      <w:proofErr w:type="gramStart"/>
      <w:r w:rsidRPr="00932AED">
        <w:rPr>
          <w:rFonts w:cstheme="minorHAnsi"/>
          <w:sz w:val="22"/>
          <w:szCs w:val="22"/>
        </w:rPr>
        <w:t>education,</w:t>
      </w:r>
      <w:proofErr w:type="gramEnd"/>
      <w:r w:rsidRPr="00932AED">
        <w:rPr>
          <w:rFonts w:cstheme="minorHAnsi"/>
          <w:sz w:val="22"/>
          <w:szCs w:val="22"/>
        </w:rPr>
        <w:t xml:space="preserve"> and our </w:t>
      </w:r>
      <w:r w:rsidRPr="00932AED">
        <w:rPr>
          <w:rFonts w:cstheme="minorHAnsi"/>
          <w:sz w:val="22"/>
          <w:szCs w:val="22"/>
        </w:rPr>
        <w:lastRenderedPageBreak/>
        <w:t>initial ideas were adapted by working with groups of teachers and experts in each country to pilot a GECM for secondary schools in each country.</w:t>
      </w:r>
    </w:p>
    <w:p w:rsidR="00D40875" w:rsidRPr="00932AED" w:rsidRDefault="00D40875" w:rsidP="00D40875">
      <w:pPr>
        <w:spacing w:after="160"/>
        <w:rPr>
          <w:rFonts w:eastAsia="Times New Roman" w:cstheme="minorHAnsi"/>
          <w:b/>
          <w:sz w:val="22"/>
          <w:szCs w:val="22"/>
        </w:rPr>
      </w:pPr>
      <w:r w:rsidRPr="00932AED">
        <w:rPr>
          <w:rFonts w:eastAsia="Times New Roman" w:cstheme="minorHAnsi"/>
          <w:b/>
          <w:sz w:val="22"/>
          <w:szCs w:val="22"/>
        </w:rPr>
        <w:t>What is this project about?</w:t>
      </w:r>
    </w:p>
    <w:p w:rsidR="00D40875" w:rsidRPr="00932AED" w:rsidRDefault="00D40875" w:rsidP="00D40875">
      <w:pPr>
        <w:spacing w:after="160"/>
        <w:rPr>
          <w:rFonts w:eastAsia="Times New Roman" w:cstheme="minorHAnsi"/>
          <w:sz w:val="22"/>
          <w:szCs w:val="22"/>
        </w:rPr>
      </w:pPr>
      <w:r w:rsidRPr="00932AED">
        <w:rPr>
          <w:rFonts w:eastAsia="Times New Roman" w:cstheme="minorHAnsi"/>
          <w:sz w:val="22"/>
          <w:szCs w:val="22"/>
        </w:rPr>
        <w:t>Expanding the use of the 'Gender Equality Charter Mark for Schools' across Europe is a three-year European Union funded project. There are 9 partners involved from 9 different European countries and each one aims to create a specific Gender Equality Charter Mark that can be used in and by schools. It is hoped that schools in any country in Europe (and beyond) will be able to adapt the charter mark to their context.</w:t>
      </w:r>
    </w:p>
    <w:p w:rsidR="00D40875" w:rsidRPr="00932AED" w:rsidRDefault="00D40875" w:rsidP="00D40875">
      <w:pPr>
        <w:spacing w:after="160"/>
        <w:rPr>
          <w:rFonts w:eastAsia="Times New Roman" w:cstheme="minorHAnsi"/>
          <w:b/>
          <w:sz w:val="22"/>
          <w:szCs w:val="22"/>
        </w:rPr>
      </w:pPr>
      <w:r w:rsidRPr="00932AED">
        <w:rPr>
          <w:rFonts w:eastAsia="Times New Roman" w:cstheme="minorHAnsi"/>
          <w:b/>
          <w:sz w:val="22"/>
          <w:szCs w:val="22"/>
        </w:rPr>
        <w:t xml:space="preserve">What exactly is a Gender Equality Charter Mark? </w:t>
      </w:r>
    </w:p>
    <w:p w:rsidR="00D40875" w:rsidRPr="00932AED" w:rsidRDefault="00D40875" w:rsidP="00D40875">
      <w:pPr>
        <w:spacing w:after="160"/>
        <w:rPr>
          <w:rFonts w:eastAsia="Times New Roman" w:cstheme="minorHAnsi"/>
          <w:sz w:val="22"/>
          <w:szCs w:val="22"/>
        </w:rPr>
      </w:pPr>
      <w:r w:rsidRPr="00932AED">
        <w:rPr>
          <w:rFonts w:eastAsia="Times New Roman" w:cstheme="minorHAnsi"/>
          <w:sz w:val="22"/>
          <w:szCs w:val="22"/>
        </w:rPr>
        <w:t xml:space="preserve">It is a framework that can be adopted by schools to help them look at influencing and informing their leadership, curriculum, physical environment, and the attitudes and relationships of both the students, staff and wider community in relation to gender equality issues. </w:t>
      </w:r>
    </w:p>
    <w:p w:rsidR="00D40875" w:rsidRPr="00932AED" w:rsidRDefault="00D40875" w:rsidP="00D40875">
      <w:pPr>
        <w:spacing w:after="160"/>
        <w:rPr>
          <w:rFonts w:eastAsia="Times New Roman" w:cstheme="minorHAnsi"/>
          <w:sz w:val="22"/>
          <w:szCs w:val="22"/>
        </w:rPr>
      </w:pPr>
      <w:r w:rsidRPr="00932AED">
        <w:rPr>
          <w:rFonts w:eastAsia="Times New Roman" w:cstheme="minorHAnsi"/>
          <w:sz w:val="22"/>
          <w:szCs w:val="22"/>
        </w:rPr>
        <w:t>We envisage an ever-expanding network of schools throughout Europe and beyond that can provide examples of substantial and lasting change due to the way that the GECM is integrated into school policy and ethos. We see the GECM becoming a more widely recognised symbol for gender equality that is both attainable for schools in any country, yet also prestigious and a symbol of an equal and healthy learning environment.</w:t>
      </w:r>
    </w:p>
    <w:p w:rsidR="00AC3DC9" w:rsidRPr="00932AED" w:rsidRDefault="00AC3DC9" w:rsidP="00AC3DC9">
      <w:pPr>
        <w:spacing w:after="160"/>
        <w:rPr>
          <w:rFonts w:eastAsia="Times New Roman" w:cstheme="minorHAnsi"/>
          <w:b/>
          <w:sz w:val="22"/>
          <w:szCs w:val="22"/>
        </w:rPr>
      </w:pPr>
      <w:r w:rsidRPr="00932AED">
        <w:rPr>
          <w:rFonts w:eastAsia="Times New Roman" w:cstheme="minorHAnsi"/>
          <w:b/>
          <w:sz w:val="22"/>
          <w:szCs w:val="22"/>
        </w:rPr>
        <w:t xml:space="preserve">Who is it for? </w:t>
      </w:r>
    </w:p>
    <w:p w:rsidR="00AC3DC9" w:rsidRPr="00131C9D" w:rsidRDefault="00AC3DC9" w:rsidP="00AC3DC9">
      <w:pPr>
        <w:spacing w:after="160"/>
        <w:rPr>
          <w:rFonts w:eastAsia="Times New Roman" w:cstheme="minorHAnsi"/>
          <w:sz w:val="22"/>
          <w:szCs w:val="22"/>
        </w:rPr>
      </w:pPr>
      <w:r w:rsidRPr="00932AED">
        <w:rPr>
          <w:rFonts w:eastAsia="Times New Roman" w:cstheme="minorHAnsi"/>
          <w:sz w:val="22"/>
          <w:szCs w:val="22"/>
        </w:rPr>
        <w:t>Early Years, Primary and Secondary Schools: a whole-school approach means the target groups are school -children, teachers and headteachers but also parents, administrators and the wider community.</w:t>
      </w:r>
    </w:p>
    <w:p w:rsidR="00131C9D" w:rsidRPr="00131C9D" w:rsidRDefault="00131C9D" w:rsidP="00131C9D">
      <w:pPr>
        <w:rPr>
          <w:rFonts w:eastAsia="Times New Roman" w:cstheme="minorHAnsi"/>
          <w:sz w:val="22"/>
          <w:szCs w:val="22"/>
        </w:rPr>
      </w:pPr>
    </w:p>
    <w:p w:rsidR="00AC3DC9" w:rsidRPr="00932AED" w:rsidRDefault="00131C9D" w:rsidP="00AC3DC9">
      <w:pPr>
        <w:spacing w:after="160"/>
        <w:rPr>
          <w:rFonts w:eastAsia="Times New Roman" w:cstheme="minorHAnsi"/>
          <w:b/>
          <w:color w:val="000000"/>
          <w:sz w:val="22"/>
          <w:szCs w:val="22"/>
        </w:rPr>
      </w:pPr>
      <w:r w:rsidRPr="00131C9D">
        <w:rPr>
          <w:rFonts w:eastAsia="Times New Roman" w:cstheme="minorHAnsi"/>
          <w:b/>
          <w:color w:val="000000"/>
          <w:sz w:val="22"/>
          <w:szCs w:val="22"/>
        </w:rPr>
        <w:t>Out</w:t>
      </w:r>
      <w:r w:rsidR="00AC3DC9" w:rsidRPr="00932AED">
        <w:rPr>
          <w:rFonts w:eastAsia="Times New Roman" w:cstheme="minorHAnsi"/>
          <w:b/>
          <w:color w:val="000000"/>
          <w:sz w:val="22"/>
          <w:szCs w:val="22"/>
        </w:rPr>
        <w:t>puts</w:t>
      </w:r>
    </w:p>
    <w:p w:rsidR="00AC3DC9" w:rsidRPr="00932AED" w:rsidRDefault="00AC3DC9" w:rsidP="00AC3DC9">
      <w:pPr>
        <w:pStyle w:val="Odsekzoznamu"/>
        <w:numPr>
          <w:ilvl w:val="0"/>
          <w:numId w:val="2"/>
        </w:numPr>
        <w:spacing w:after="160"/>
        <w:rPr>
          <w:rFonts w:eastAsia="Times New Roman" w:cstheme="minorHAnsi"/>
          <w:b/>
          <w:color w:val="000000"/>
          <w:sz w:val="22"/>
          <w:szCs w:val="22"/>
        </w:rPr>
      </w:pPr>
      <w:r w:rsidRPr="00932AED">
        <w:rPr>
          <w:rFonts w:eastAsia="Times New Roman" w:cstheme="minorHAnsi"/>
          <w:color w:val="000000"/>
          <w:sz w:val="22"/>
          <w:szCs w:val="22"/>
        </w:rPr>
        <w:t>Development/adaptation of GECM to schools teaching ages 3-11 (DECSY leads)</w:t>
      </w:r>
    </w:p>
    <w:p w:rsidR="00AC3DC9" w:rsidRPr="00932AED" w:rsidRDefault="00AC3DC9" w:rsidP="00AC3DC9">
      <w:pPr>
        <w:pStyle w:val="Odsekzoznamu"/>
        <w:numPr>
          <w:ilvl w:val="0"/>
          <w:numId w:val="2"/>
        </w:numPr>
        <w:spacing w:after="160"/>
        <w:rPr>
          <w:rFonts w:eastAsia="Times New Roman" w:cstheme="minorHAnsi"/>
          <w:b/>
          <w:color w:val="000000"/>
          <w:sz w:val="22"/>
          <w:szCs w:val="22"/>
        </w:rPr>
      </w:pPr>
      <w:r w:rsidRPr="00932AED">
        <w:rPr>
          <w:rFonts w:eastAsia="Times New Roman" w:cstheme="minorHAnsi"/>
          <w:color w:val="000000"/>
          <w:sz w:val="22"/>
          <w:szCs w:val="22"/>
        </w:rPr>
        <w:t xml:space="preserve">Charter marks adapted for each partner country </w:t>
      </w:r>
    </w:p>
    <w:p w:rsidR="00AC3DC9" w:rsidRPr="00932AED" w:rsidRDefault="00AC3DC9" w:rsidP="00AC3DC9">
      <w:pPr>
        <w:pStyle w:val="Odsekzoznamu"/>
        <w:numPr>
          <w:ilvl w:val="0"/>
          <w:numId w:val="2"/>
        </w:numPr>
        <w:spacing w:after="160"/>
        <w:rPr>
          <w:rFonts w:eastAsia="Times New Roman" w:cstheme="minorHAnsi"/>
          <w:b/>
          <w:color w:val="000000"/>
          <w:sz w:val="22"/>
          <w:szCs w:val="22"/>
        </w:rPr>
      </w:pPr>
      <w:r w:rsidRPr="00932AED">
        <w:rPr>
          <w:rFonts w:eastAsia="Times New Roman" w:cstheme="minorHAnsi"/>
          <w:color w:val="000000"/>
          <w:sz w:val="22"/>
          <w:szCs w:val="22"/>
        </w:rPr>
        <w:t>Handbook on how to implement the charter mark including case studies</w:t>
      </w:r>
    </w:p>
    <w:p w:rsidR="00AC3DC9" w:rsidRPr="00932AED" w:rsidRDefault="00AC3DC9" w:rsidP="00AC3DC9">
      <w:pPr>
        <w:pStyle w:val="Odsekzoznamu"/>
        <w:numPr>
          <w:ilvl w:val="0"/>
          <w:numId w:val="2"/>
        </w:numPr>
        <w:spacing w:after="160"/>
        <w:rPr>
          <w:rFonts w:eastAsia="Times New Roman" w:cstheme="minorHAnsi"/>
          <w:b/>
          <w:color w:val="000000"/>
          <w:sz w:val="22"/>
          <w:szCs w:val="22"/>
        </w:rPr>
      </w:pPr>
      <w:r w:rsidRPr="00932AED">
        <w:rPr>
          <w:rFonts w:eastAsia="Times New Roman" w:cstheme="minorHAnsi"/>
          <w:color w:val="000000"/>
          <w:sz w:val="22"/>
          <w:szCs w:val="22"/>
        </w:rPr>
        <w:t xml:space="preserve">Handbook of gender equality support materials - curriculum ideas and classroom resources </w:t>
      </w:r>
    </w:p>
    <w:p w:rsidR="00AC3DC9" w:rsidRPr="00932AED" w:rsidRDefault="00AC3DC9" w:rsidP="00AC3DC9">
      <w:pPr>
        <w:pStyle w:val="Odsekzoznamu"/>
        <w:numPr>
          <w:ilvl w:val="0"/>
          <w:numId w:val="2"/>
        </w:numPr>
        <w:spacing w:after="160"/>
        <w:rPr>
          <w:rFonts w:eastAsia="Times New Roman" w:cstheme="minorHAnsi"/>
          <w:b/>
          <w:color w:val="000000"/>
          <w:sz w:val="22"/>
          <w:szCs w:val="22"/>
        </w:rPr>
      </w:pPr>
      <w:r w:rsidRPr="00932AED">
        <w:rPr>
          <w:rFonts w:eastAsia="Times New Roman" w:cstheme="minorHAnsi"/>
          <w:color w:val="000000"/>
          <w:sz w:val="22"/>
          <w:szCs w:val="22"/>
        </w:rPr>
        <w:t xml:space="preserve">Teacher professional development modules on gender equality which can be adapted to different countries </w:t>
      </w:r>
    </w:p>
    <w:p w:rsidR="00AC3DC9" w:rsidRPr="00932AED" w:rsidRDefault="00AC3DC9" w:rsidP="00AC3DC9">
      <w:pPr>
        <w:pStyle w:val="Odsekzoznamu"/>
        <w:numPr>
          <w:ilvl w:val="0"/>
          <w:numId w:val="2"/>
        </w:numPr>
        <w:spacing w:after="160"/>
        <w:rPr>
          <w:rFonts w:eastAsia="Times New Roman" w:cstheme="minorHAnsi"/>
          <w:b/>
          <w:color w:val="000000"/>
          <w:sz w:val="22"/>
          <w:szCs w:val="22"/>
        </w:rPr>
      </w:pPr>
      <w:r w:rsidRPr="00932AED">
        <w:rPr>
          <w:rFonts w:eastAsia="Times New Roman" w:cstheme="minorHAnsi"/>
          <w:color w:val="000000"/>
          <w:sz w:val="22"/>
          <w:szCs w:val="22"/>
        </w:rPr>
        <w:t>Initial teacher education modules on gender equality which can be adapted to different countries</w:t>
      </w:r>
    </w:p>
    <w:p w:rsidR="00AC3DC9" w:rsidRPr="00932AED" w:rsidRDefault="00AC3DC9" w:rsidP="00AC3DC9">
      <w:pPr>
        <w:pStyle w:val="Odsekzoznamu"/>
        <w:numPr>
          <w:ilvl w:val="0"/>
          <w:numId w:val="2"/>
        </w:numPr>
        <w:spacing w:after="160"/>
        <w:rPr>
          <w:rFonts w:eastAsia="Times New Roman" w:cstheme="minorHAnsi"/>
          <w:b/>
          <w:color w:val="000000"/>
          <w:sz w:val="22"/>
          <w:szCs w:val="22"/>
        </w:rPr>
      </w:pPr>
      <w:r w:rsidRPr="00932AED">
        <w:rPr>
          <w:rFonts w:eastAsia="Times New Roman" w:cstheme="minorHAnsi"/>
          <w:color w:val="000000"/>
          <w:sz w:val="22"/>
          <w:szCs w:val="22"/>
        </w:rPr>
        <w:t xml:space="preserve">Train the trainer events in each country </w:t>
      </w:r>
    </w:p>
    <w:p w:rsidR="00AC3DC9" w:rsidRPr="00932AED" w:rsidRDefault="00AC3DC9" w:rsidP="00AC3DC9">
      <w:pPr>
        <w:pStyle w:val="Odsekzoznamu"/>
        <w:numPr>
          <w:ilvl w:val="0"/>
          <w:numId w:val="2"/>
        </w:numPr>
        <w:spacing w:after="160"/>
        <w:rPr>
          <w:rFonts w:eastAsia="Times New Roman" w:cstheme="minorHAnsi"/>
          <w:b/>
          <w:color w:val="000000"/>
          <w:sz w:val="22"/>
          <w:szCs w:val="22"/>
        </w:rPr>
      </w:pPr>
      <w:r w:rsidRPr="00932AED">
        <w:rPr>
          <w:rFonts w:eastAsia="Times New Roman" w:cstheme="minorHAnsi"/>
          <w:color w:val="000000"/>
          <w:sz w:val="22"/>
          <w:szCs w:val="22"/>
        </w:rPr>
        <w:t>Multiplier / dissemination events in each country</w:t>
      </w:r>
    </w:p>
    <w:p w:rsidR="00AC3DC9" w:rsidRPr="00932AED" w:rsidRDefault="00AC3DC9" w:rsidP="00AC3DC9">
      <w:pPr>
        <w:spacing w:after="160"/>
        <w:rPr>
          <w:rFonts w:eastAsia="Times New Roman" w:cstheme="minorHAnsi"/>
          <w:b/>
          <w:color w:val="000000"/>
          <w:sz w:val="22"/>
          <w:szCs w:val="22"/>
        </w:rPr>
      </w:pPr>
      <w:r w:rsidRPr="00932AED">
        <w:rPr>
          <w:rFonts w:eastAsia="Times New Roman" w:cstheme="minorHAnsi"/>
          <w:b/>
          <w:color w:val="000000"/>
          <w:sz w:val="22"/>
          <w:szCs w:val="22"/>
        </w:rPr>
        <w:t>Get involved</w:t>
      </w:r>
    </w:p>
    <w:p w:rsidR="00932AED" w:rsidRPr="00932AED" w:rsidRDefault="00AC3DC9" w:rsidP="00AC3DC9">
      <w:pPr>
        <w:spacing w:after="160"/>
        <w:rPr>
          <w:rFonts w:eastAsia="Times New Roman" w:cstheme="minorHAnsi"/>
          <w:color w:val="000000"/>
          <w:sz w:val="22"/>
          <w:szCs w:val="22"/>
        </w:rPr>
      </w:pPr>
      <w:r w:rsidRPr="00932AED">
        <w:rPr>
          <w:rFonts w:eastAsia="Times New Roman" w:cstheme="minorHAnsi"/>
          <w:color w:val="000000"/>
          <w:sz w:val="22"/>
          <w:szCs w:val="22"/>
        </w:rPr>
        <w:t>Why not look at how you can improve gender equality in your school / educational setting? You could start by looking at some of our core questions such as:</w:t>
      </w:r>
    </w:p>
    <w:p w:rsidR="00932AED" w:rsidRPr="00932AED" w:rsidRDefault="00932AED" w:rsidP="00932AED">
      <w:pPr>
        <w:pStyle w:val="Odsekzoznamu"/>
        <w:numPr>
          <w:ilvl w:val="0"/>
          <w:numId w:val="3"/>
        </w:numPr>
        <w:spacing w:after="160"/>
        <w:rPr>
          <w:rFonts w:eastAsia="Times New Roman" w:cstheme="minorHAnsi"/>
          <w:color w:val="000000"/>
          <w:sz w:val="22"/>
          <w:szCs w:val="22"/>
        </w:rPr>
      </w:pPr>
      <w:r w:rsidRPr="00932AED">
        <w:rPr>
          <w:rFonts w:eastAsia="Times New Roman" w:cstheme="minorHAnsi"/>
          <w:color w:val="000000"/>
          <w:sz w:val="22"/>
          <w:szCs w:val="22"/>
        </w:rPr>
        <w:t>To what extent is Gender Equality (GE) part of the long-term vision of the school/setting? (Leadership)</w:t>
      </w:r>
    </w:p>
    <w:p w:rsidR="00932AED" w:rsidRPr="00932AED" w:rsidRDefault="00932AED" w:rsidP="00932AED">
      <w:pPr>
        <w:pStyle w:val="Odsekzoznamu"/>
        <w:widowControl w:val="0"/>
        <w:numPr>
          <w:ilvl w:val="0"/>
          <w:numId w:val="4"/>
        </w:numPr>
        <w:suppressAutoHyphens/>
        <w:autoSpaceDN w:val="0"/>
        <w:contextualSpacing w:val="0"/>
        <w:jc w:val="both"/>
        <w:rPr>
          <w:rFonts w:cstheme="minorHAnsi"/>
          <w:sz w:val="22"/>
          <w:szCs w:val="22"/>
        </w:rPr>
      </w:pPr>
      <w:r w:rsidRPr="00932AED">
        <w:rPr>
          <w:rFonts w:cstheme="minorHAnsi"/>
          <w:color w:val="000000" w:themeColor="text1"/>
          <w:sz w:val="22"/>
          <w:szCs w:val="22"/>
        </w:rPr>
        <w:t>To what extent are students involved in non-stereotypical extra-curricular activities? (Curriculum)</w:t>
      </w:r>
    </w:p>
    <w:p w:rsidR="00932AED" w:rsidRPr="00932AED" w:rsidRDefault="00932AED" w:rsidP="00932AED">
      <w:pPr>
        <w:pStyle w:val="Odsekzoznamu"/>
        <w:numPr>
          <w:ilvl w:val="0"/>
          <w:numId w:val="4"/>
        </w:numPr>
        <w:rPr>
          <w:rFonts w:cstheme="minorHAnsi"/>
          <w:sz w:val="22"/>
          <w:szCs w:val="22"/>
        </w:rPr>
      </w:pPr>
      <w:r>
        <w:rPr>
          <w:rFonts w:cstheme="minorHAnsi"/>
          <w:sz w:val="22"/>
          <w:szCs w:val="22"/>
        </w:rPr>
        <w:t>T</w:t>
      </w:r>
      <w:r w:rsidRPr="00932AED">
        <w:rPr>
          <w:rFonts w:cstheme="minorHAnsi"/>
          <w:sz w:val="22"/>
          <w:szCs w:val="22"/>
        </w:rPr>
        <w:t>o what extent is GE represented in the physical environment? (Environment)</w:t>
      </w:r>
    </w:p>
    <w:p w:rsidR="00932AED" w:rsidRPr="00932AED" w:rsidRDefault="00932AED" w:rsidP="00932AED">
      <w:pPr>
        <w:pStyle w:val="Odsekzoznamu"/>
        <w:widowControl w:val="0"/>
        <w:numPr>
          <w:ilvl w:val="0"/>
          <w:numId w:val="4"/>
        </w:numPr>
        <w:suppressAutoHyphens/>
        <w:autoSpaceDN w:val="0"/>
        <w:contextualSpacing w:val="0"/>
        <w:jc w:val="both"/>
        <w:rPr>
          <w:rFonts w:cstheme="minorHAnsi"/>
        </w:rPr>
      </w:pPr>
      <w:r w:rsidRPr="002E0D34">
        <w:t xml:space="preserve">To what extent do children/students understand that they have choices in the way they behave and present themselves and that these shouldn't be restricted according to gender? </w:t>
      </w:r>
      <w:r>
        <w:t>(Attitudes)</w:t>
      </w:r>
    </w:p>
    <w:p w:rsidR="00932AED" w:rsidRDefault="00932AED" w:rsidP="00932AED">
      <w:pPr>
        <w:pStyle w:val="Odsekzoznamu"/>
        <w:widowControl w:val="0"/>
        <w:numPr>
          <w:ilvl w:val="0"/>
          <w:numId w:val="4"/>
        </w:numPr>
        <w:suppressAutoHyphens/>
        <w:autoSpaceDN w:val="0"/>
        <w:contextualSpacing w:val="0"/>
        <w:jc w:val="both"/>
        <w:rPr>
          <w:rFonts w:cstheme="minorHAnsi"/>
          <w:sz w:val="22"/>
          <w:szCs w:val="22"/>
        </w:rPr>
      </w:pPr>
      <w:r w:rsidRPr="00932AED">
        <w:rPr>
          <w:rFonts w:cstheme="minorHAnsi"/>
          <w:sz w:val="22"/>
          <w:szCs w:val="22"/>
        </w:rPr>
        <w:t xml:space="preserve">To what extent </w:t>
      </w:r>
      <w:proofErr w:type="gramStart"/>
      <w:r w:rsidRPr="00932AED">
        <w:rPr>
          <w:rFonts w:cstheme="minorHAnsi"/>
          <w:sz w:val="22"/>
          <w:szCs w:val="22"/>
        </w:rPr>
        <w:t>do school/setting staff</w:t>
      </w:r>
      <w:proofErr w:type="gramEnd"/>
      <w:r w:rsidRPr="00932AED">
        <w:rPr>
          <w:rFonts w:cstheme="minorHAnsi"/>
          <w:sz w:val="22"/>
          <w:szCs w:val="22"/>
        </w:rPr>
        <w:t xml:space="preserve"> engage families with GE work? (Community)</w:t>
      </w:r>
    </w:p>
    <w:p w:rsidR="00932AED" w:rsidRDefault="00932AED" w:rsidP="00932AED">
      <w:pPr>
        <w:widowControl w:val="0"/>
        <w:suppressAutoHyphens/>
        <w:autoSpaceDN w:val="0"/>
        <w:jc w:val="both"/>
        <w:rPr>
          <w:rFonts w:cstheme="minorHAnsi"/>
          <w:sz w:val="22"/>
          <w:szCs w:val="22"/>
        </w:rPr>
      </w:pPr>
    </w:p>
    <w:p w:rsidR="00932AED" w:rsidRPr="00932AED" w:rsidRDefault="00932AED" w:rsidP="00932AED">
      <w:pPr>
        <w:widowControl w:val="0"/>
        <w:suppressAutoHyphens/>
        <w:autoSpaceDN w:val="0"/>
        <w:jc w:val="both"/>
        <w:rPr>
          <w:rFonts w:cstheme="minorHAnsi"/>
          <w:i/>
          <w:sz w:val="22"/>
          <w:szCs w:val="22"/>
        </w:rPr>
      </w:pPr>
      <w:r>
        <w:rPr>
          <w:rFonts w:cstheme="minorHAnsi"/>
          <w:sz w:val="22"/>
          <w:szCs w:val="22"/>
        </w:rPr>
        <w:t xml:space="preserve">For more questions linked to the five core themes go to </w:t>
      </w:r>
      <w:r>
        <w:rPr>
          <w:rFonts w:cstheme="minorHAnsi"/>
          <w:i/>
          <w:sz w:val="22"/>
          <w:szCs w:val="22"/>
        </w:rPr>
        <w:t>weblink</w:t>
      </w:r>
    </w:p>
    <w:p w:rsidR="00131C9D" w:rsidRPr="00131C9D" w:rsidRDefault="00131C9D" w:rsidP="00131C9D">
      <w:pPr>
        <w:rPr>
          <w:rFonts w:eastAsia="Times New Roman" w:cstheme="minorHAnsi"/>
          <w:sz w:val="22"/>
          <w:szCs w:val="22"/>
        </w:rPr>
      </w:pPr>
    </w:p>
    <w:p w:rsidR="00131C9D" w:rsidRPr="00932AED" w:rsidRDefault="00131C9D" w:rsidP="00131C9D">
      <w:pPr>
        <w:spacing w:after="160"/>
        <w:rPr>
          <w:rFonts w:eastAsia="Times New Roman" w:cstheme="minorHAnsi"/>
          <w:b/>
          <w:color w:val="000000"/>
          <w:sz w:val="22"/>
          <w:szCs w:val="22"/>
        </w:rPr>
      </w:pPr>
      <w:r w:rsidRPr="00131C9D">
        <w:rPr>
          <w:rFonts w:eastAsia="Times New Roman" w:cstheme="minorHAnsi"/>
          <w:b/>
          <w:color w:val="000000"/>
          <w:sz w:val="22"/>
          <w:szCs w:val="22"/>
        </w:rPr>
        <w:t>Further information</w:t>
      </w:r>
    </w:p>
    <w:p w:rsidR="0044287E" w:rsidRDefault="006C6013">
      <w:hyperlink r:id="rId8" w:history="1">
        <w:r>
          <w:rPr>
            <w:rStyle w:val="Hypertextovprepojenie"/>
          </w:rPr>
          <w:t>https://www.decsy.org.uk/project/gender-equality-charter-mark-2-2019-2021/</w:t>
        </w:r>
      </w:hyperlink>
    </w:p>
    <w:sectPr w:rsidR="0044287E" w:rsidSect="00131C9D">
      <w:pgSz w:w="11900" w:h="16840"/>
      <w:pgMar w:top="737" w:right="1106" w:bottom="737" w:left="101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D81" w:rsidRDefault="003A4D81" w:rsidP="000A675E">
      <w:r>
        <w:separator/>
      </w:r>
    </w:p>
  </w:endnote>
  <w:endnote w:type="continuationSeparator" w:id="0">
    <w:p w:rsidR="003A4D81" w:rsidRDefault="003A4D81" w:rsidP="000A67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D81" w:rsidRDefault="003A4D81" w:rsidP="000A675E">
      <w:r>
        <w:separator/>
      </w:r>
    </w:p>
  </w:footnote>
  <w:footnote w:type="continuationSeparator" w:id="0">
    <w:p w:rsidR="003A4D81" w:rsidRDefault="003A4D81" w:rsidP="000A675E">
      <w:r>
        <w:continuationSeparator/>
      </w:r>
    </w:p>
  </w:footnote>
  <w:footnote w:id="1">
    <w:p w:rsidR="000A675E" w:rsidRDefault="000A675E">
      <w:pPr>
        <w:pStyle w:val="Textpoznmkypodiarou"/>
      </w:pPr>
      <w:r>
        <w:rPr>
          <w:rStyle w:val="Odkaznapoznmkupodiarou"/>
        </w:rPr>
        <w:footnoteRef/>
      </w:r>
      <w:r>
        <w:t xml:space="preserve"> </w:t>
      </w:r>
      <w:hyperlink r:id="rId1" w:history="1">
        <w:r w:rsidRPr="00137177">
          <w:rPr>
            <w:rStyle w:val="Hypertextovprepojenie"/>
          </w:rPr>
          <w:t>https://www.un.org/womenwatch/daw/csw/csw57/CSW57_Agreed_Conclusions_(CSW_report_excerpt).pdf</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F5248"/>
    <w:multiLevelType w:val="hybridMultilevel"/>
    <w:tmpl w:val="A0F6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0A6715"/>
    <w:multiLevelType w:val="hybridMultilevel"/>
    <w:tmpl w:val="BD98E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AA80E9E"/>
    <w:multiLevelType w:val="hybridMultilevel"/>
    <w:tmpl w:val="CA32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3334F0"/>
    <w:multiLevelType w:val="hybridMultilevel"/>
    <w:tmpl w:val="2858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1F1DF9"/>
    <w:rsid w:val="000A675E"/>
    <w:rsid w:val="00131C9D"/>
    <w:rsid w:val="001F1DF9"/>
    <w:rsid w:val="001F4980"/>
    <w:rsid w:val="00261ACF"/>
    <w:rsid w:val="003A4D81"/>
    <w:rsid w:val="006C6013"/>
    <w:rsid w:val="00932AED"/>
    <w:rsid w:val="00AC3DC9"/>
    <w:rsid w:val="00D40875"/>
    <w:rsid w:val="00E37D75"/>
    <w:rsid w:val="00FB35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61ACF"/>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131C9D"/>
    <w:pPr>
      <w:spacing w:before="100" w:beforeAutospacing="1" w:after="100" w:afterAutospacing="1"/>
    </w:pPr>
    <w:rPr>
      <w:rFonts w:ascii="Times New Roman" w:eastAsia="Times New Roman" w:hAnsi="Times New Roman" w:cs="Times New Roman"/>
    </w:rPr>
  </w:style>
  <w:style w:type="table" w:styleId="Mriekatabuky">
    <w:name w:val="Table Grid"/>
    <w:basedOn w:val="Normlnatabuka"/>
    <w:uiPriority w:val="59"/>
    <w:rsid w:val="00131C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textovprepojenie">
    <w:name w:val="Hyperlink"/>
    <w:rsid w:val="000A675E"/>
    <w:rPr>
      <w:color w:val="0000FF"/>
      <w:u w:val="single"/>
    </w:rPr>
  </w:style>
  <w:style w:type="character" w:customStyle="1" w:styleId="UnresolvedMention">
    <w:name w:val="Unresolved Mention"/>
    <w:basedOn w:val="Predvolenpsmoodseku"/>
    <w:uiPriority w:val="99"/>
    <w:semiHidden/>
    <w:unhideWhenUsed/>
    <w:rsid w:val="000A675E"/>
    <w:rPr>
      <w:color w:val="605E5C"/>
      <w:shd w:val="clear" w:color="auto" w:fill="E1DFDD"/>
    </w:rPr>
  </w:style>
  <w:style w:type="paragraph" w:styleId="Textpoznmkypodiarou">
    <w:name w:val="footnote text"/>
    <w:basedOn w:val="Normlny"/>
    <w:link w:val="TextpoznmkypodiarouChar"/>
    <w:uiPriority w:val="99"/>
    <w:semiHidden/>
    <w:unhideWhenUsed/>
    <w:rsid w:val="000A675E"/>
    <w:rPr>
      <w:sz w:val="20"/>
      <w:szCs w:val="20"/>
    </w:rPr>
  </w:style>
  <w:style w:type="character" w:customStyle="1" w:styleId="TextpoznmkypodiarouChar">
    <w:name w:val="Text poznámky pod čiarou Char"/>
    <w:basedOn w:val="Predvolenpsmoodseku"/>
    <w:link w:val="Textpoznmkypodiarou"/>
    <w:uiPriority w:val="99"/>
    <w:semiHidden/>
    <w:rsid w:val="000A675E"/>
    <w:rPr>
      <w:sz w:val="20"/>
      <w:szCs w:val="20"/>
    </w:rPr>
  </w:style>
  <w:style w:type="character" w:styleId="Odkaznapoznmkupodiarou">
    <w:name w:val="footnote reference"/>
    <w:basedOn w:val="Predvolenpsmoodseku"/>
    <w:uiPriority w:val="99"/>
    <w:semiHidden/>
    <w:unhideWhenUsed/>
    <w:rsid w:val="000A675E"/>
    <w:rPr>
      <w:vertAlign w:val="superscript"/>
    </w:rPr>
  </w:style>
  <w:style w:type="paragraph" w:styleId="Odsekzoznamu">
    <w:name w:val="List Paragraph"/>
    <w:basedOn w:val="Normlny"/>
    <w:qFormat/>
    <w:rsid w:val="00AC3DC9"/>
    <w:pPr>
      <w:ind w:left="720"/>
      <w:contextualSpacing/>
    </w:pPr>
  </w:style>
</w:styles>
</file>

<file path=word/webSettings.xml><?xml version="1.0" encoding="utf-8"?>
<w:webSettings xmlns:r="http://schemas.openxmlformats.org/officeDocument/2006/relationships" xmlns:w="http://schemas.openxmlformats.org/wordprocessingml/2006/main">
  <w:divs>
    <w:div w:id="204605704">
      <w:bodyDiv w:val="1"/>
      <w:marLeft w:val="0"/>
      <w:marRight w:val="0"/>
      <w:marTop w:val="0"/>
      <w:marBottom w:val="0"/>
      <w:divBdr>
        <w:top w:val="none" w:sz="0" w:space="0" w:color="auto"/>
        <w:left w:val="none" w:sz="0" w:space="0" w:color="auto"/>
        <w:bottom w:val="none" w:sz="0" w:space="0" w:color="auto"/>
        <w:right w:val="none" w:sz="0" w:space="0" w:color="auto"/>
      </w:divBdr>
    </w:div>
    <w:div w:id="180199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csy.org.uk/project/gender-equality-charter-mark-2-2019-20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womenwatch/daw/csw/csw57/CSW57_Agreed_Conclusions_(CSW_report_excer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3E3B0-7ADE-4683-8F63-635587C1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923</Words>
  <Characters>5267</Characters>
  <Application>Microsoft Office Word</Application>
  <DocSecurity>0</DocSecurity>
  <Lines>43</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ZJ</cp:lastModifiedBy>
  <cp:revision>2</cp:revision>
  <dcterms:created xsi:type="dcterms:W3CDTF">2020-04-08T02:52:00Z</dcterms:created>
  <dcterms:modified xsi:type="dcterms:W3CDTF">2020-04-08T02:52:00Z</dcterms:modified>
</cp:coreProperties>
</file>